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26-283</w:t>
      </w:r>
    </w:p>
    <w:p>
      <w:pPr>
        <w:spacing w:before="0" w:after="0" w:line="480"/>
        <w:ind w:left="120"/>
        <w:jc w:val="left"/>
      </w:pPr>
    </w:p>
    <w:p>
      <w:pPr>
        <w:spacing w:before="0" w:after="0" w:line="480"/>
        <w:ind w:left="120"/>
        <w:jc w:val="center"/>
      </w:pPr>
      <w:r>
        <w:rPr>
          <w:rFonts w:ascii="Times New Roman" w:hAnsi="Times New Roman"/>
          <w:b/>
          <w:i w:val="false"/>
          <w:color w:val="000000"/>
          <w:sz w:val="28"/>
        </w:rPr>
        <w:t>ECONOMIC DEVELOPMENT AUTHORITY[261]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261—Chapter 69</w:t>
      </w:r>
    </w:p>
    <w:p>
      <w:pPr>
        <w:spacing w:before="0" w:after="0" w:line="480"/>
        <w:ind w:left="120"/>
        <w:jc w:val="center"/>
      </w:pPr>
      <w:r>
        <w:rPr>
          <w:rFonts w:ascii="Times New Roman" w:hAnsi="Times New Roman"/>
          <w:b w:val="false"/>
          <w:i w:val="false"/>
          <w:color w:val="000000"/>
          <w:sz w:val="24"/>
        </w:rPr>
        <w:t>“Business Incentives for Growth (BIG)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15.106A, 15.503, and 15.505</w:t>
      </w:r>
    </w:p>
    <w:p>
      <w:pPr>
        <w:spacing w:before="0" w:after="0" w:line="480"/>
        <w:ind w:left="120"/>
        <w:jc w:val="both"/>
      </w:pPr>
      <w:r>
        <w:rPr>
          <w:rFonts w:ascii="Times New Roman" w:hAnsi="Times New Roman"/>
          <w:b w:val="false"/>
          <w:i w:val="false"/>
          <w:color w:val="000000"/>
          <w:sz w:val="24"/>
        </w:rPr>
        <w:t>State or federal law(s) implemented by the rulemaking: Iowa Code chapter 15, subchapter II, part 33, and section 15A.1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9:30 to 9:45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Microsoft Teams</w:t>
            </w:r>
            <w:r>
              <w:br/>
            </w:r>
            <w:r>
              <w:rPr>
                <w:rFonts w:ascii="Times New Roman" w:hAnsi="Times New Roman"/>
                <w:b w:val="false"/>
                <w:i w:val="false"/>
                <w:color w:val="000000"/>
                <w:sz w:val="14"/>
              </w:rPr>
              <w:t xml:space="preserve">Information about Teams participation </w:t>
            </w:r>
            <w:r>
              <w:br/>
            </w:r>
            <w:r>
              <w:rPr>
                <w:rFonts w:ascii="Times New Roman" w:hAnsi="Times New Roman"/>
                <w:b w:val="false"/>
                <w:i w:val="false"/>
                <w:color w:val="000000"/>
                <w:sz w:val="14"/>
              </w:rPr>
              <w:t>can be found at</w:t>
            </w:r>
            <w:r>
              <w:br/>
            </w:r>
            <w:hyperlink r:id="rId4">
              <w:r>
                <w:rPr>
                  <w:rStyle w:val="Hyperlink"/>
                  <w:rFonts w:ascii="Times New Roman" w:hAnsi="Times New Roman"/>
                  <w:b w:val="false"/>
                  <w:i w:val="false"/>
                  <w:color w:val="0000ff"/>
                  <w:sz w:val="14"/>
                </w:rPr>
                <w:t>opportunityiowa.gov/about/iowa-economic-development-authority/ieda-red-tape-review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Economic Development Authority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Lisa Connell</w:t>
            </w:r>
            <w:r>
              <w:br/>
            </w:r>
            <w:r>
              <w:rPr>
                <w:rFonts w:ascii="Times New Roman" w:hAnsi="Times New Roman"/>
                <w:b w:val="false"/>
                <w:i w:val="false"/>
                <w:color w:val="000000"/>
                <w:sz w:val="14"/>
              </w:rPr>
              <w:t>Iowa Economic Development Authority</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Des Moines, Iowa 50315</w:t>
            </w:r>
            <w:r>
              <w:br/>
            </w:r>
            <w:r>
              <w:rPr>
                <w:rFonts w:ascii="Times New Roman" w:hAnsi="Times New Roman"/>
                <w:b w:val="false"/>
                <w:i w:val="false"/>
                <w:color w:val="000000"/>
                <w:sz w:val="14"/>
              </w:rPr>
              <w:t>Phone: 515.348.6163</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spacing w:before="0" w:after="0" w:line="480"/>
        <w:ind w:left="120"/>
        <w:jc w:val="both"/>
      </w:pPr>
      <w:r>
        <w:rPr>
          <w:rFonts w:ascii="Times New Roman" w:hAnsi="Times New Roman"/>
          <w:b w:val="false"/>
          <w:i w:val="false"/>
          <w:color w:val="000000"/>
          <w:sz w:val="24"/>
        </w:rPr>
        <w:t xml:space="preserve">    The Authority proposes to amend Chapter 69. The chapter describes the policies and procedures applicable to the Business Incentives for Growth (BIG) Program. The program helps qualifying businesses offset some of the costs of locating, expanding, or modernizing a facility in Iowa. The amendments make the following changes: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Remove references to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which has been codified since adoption of the chapter.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Clarify the treatment of expenditures associated with the purchase of a business as a going concern.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Establish parameters for the BIG Training Fund, which was created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 The fund will provide reimbursement for eligible job training expenses.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Businesses interested in applying for or receiving assistance through the program will bear the costs of this proposed rulemaking.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Businesses interested in applying for or receiving assistance through the program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 xml:space="preserve">Businesses applying for assistance may require staff time to complete an application. Businesses that are awarded tax incentives or financial assistance may similarly incur costs to administer an award. Some applicants may choose to rely on an external service provider to complete these tasks. The amount of the costs will vary depending on the compensation of staff or service providers. The current rules establish an application fee of 0.5 percent of the total amount of tax incentives recommended, not to exceed $10,000. The fee is unchanged by the proposed amendments.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program provides a financial incentive to businesses relocating to Iowa from another state or expanding within the State.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Authority staff time is required to review and approve applications, draft and execute program contracts, authorize utilization tax incentives, disburse financial assistance, monitor compliance with award terms, and communicate with program applicants and recipients.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amendments have no anticipated impact on State revenues beyond that of 2026 Iowa Acts, House File 2799.</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Only the entities that will potentially benefit from the program will bear the costs of the proposed rulemaking. The costs to the State to administer the program are proportional to the activities supported by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methods or less intrusive methods for administering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impacts only small businesses seeking financial assistance. The amendments regarding compliance and reporting requirements are no more stringent than necessary to implement the purposes of the program. The amendments do not establish schedules or deadlines. The rules do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261—69.1(15)</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“Agreement,” </w:t>
      </w:r>
      <w:r>
        <w:rPr>
          <w:rFonts w:ascii="Times New Roman" w:hAnsi="Times New Roman"/>
          <w:b w:val="false"/>
          <w:i w:val="false"/>
          <w:color w:val="000000"/>
          <w:sz w:val="24"/>
        </w:rPr>
        <w:t xml:space="preserve">“Base employment level,” </w:t>
      </w:r>
      <w:r>
        <w:rPr>
          <w:rFonts w:ascii="Times New Roman" w:hAnsi="Times New Roman"/>
          <w:b w:val="false"/>
          <w:i w:val="false"/>
          <w:color w:val="000000"/>
          <w:sz w:val="24"/>
        </w:rPr>
        <w:t xml:space="preserve">“Benefits,” </w:t>
      </w:r>
      <w:r>
        <w:rPr>
          <w:rFonts w:ascii="Times New Roman" w:hAnsi="Times New Roman"/>
          <w:b w:val="false"/>
          <w:i w:val="false"/>
          <w:color w:val="000000"/>
          <w:sz w:val="24"/>
        </w:rPr>
        <w:t xml:space="preserve">“Community,” </w:t>
      </w:r>
      <w:r>
        <w:rPr>
          <w:rFonts w:ascii="Times New Roman" w:hAnsi="Times New Roman"/>
          <w:b w:val="false"/>
          <w:i w:val="false"/>
          <w:color w:val="000000"/>
          <w:sz w:val="24"/>
        </w:rPr>
        <w:t xml:space="preserve">“Created job,” </w:t>
      </w:r>
      <w:r>
        <w:rPr>
          <w:rFonts w:ascii="Times New Roman" w:hAnsi="Times New Roman"/>
          <w:b w:val="false"/>
          <w:i w:val="false"/>
          <w:color w:val="000000"/>
          <w:sz w:val="24"/>
        </w:rPr>
        <w:t xml:space="preserve">“Eligible business,” </w:t>
      </w:r>
      <w:r>
        <w:rPr>
          <w:rFonts w:ascii="Times New Roman" w:hAnsi="Times New Roman"/>
          <w:b w:val="false"/>
          <w:i w:val="false"/>
          <w:color w:val="000000"/>
          <w:sz w:val="24"/>
        </w:rPr>
        <w:t xml:space="preserve">“Financial assistance,” </w:t>
      </w:r>
      <w:r>
        <w:rPr>
          <w:rFonts w:ascii="Times New Roman" w:hAnsi="Times New Roman"/>
          <w:b w:val="false"/>
          <w:i w:val="false"/>
          <w:color w:val="000000"/>
          <w:sz w:val="24"/>
        </w:rPr>
        <w:t xml:space="preserve">“Full-time equivalent position,” </w:t>
      </w:r>
      <w:r>
        <w:rPr>
          <w:rFonts w:ascii="Times New Roman" w:hAnsi="Times New Roman"/>
          <w:b w:val="false"/>
          <w:i w:val="false"/>
          <w:color w:val="000000"/>
          <w:sz w:val="24"/>
        </w:rPr>
        <w:t xml:space="preserve">“Program,” </w:t>
      </w:r>
      <w:r>
        <w:rPr>
          <w:rFonts w:ascii="Times New Roman" w:hAnsi="Times New Roman"/>
          <w:b w:val="false"/>
          <w:i w:val="false"/>
          <w:color w:val="000000"/>
          <w:sz w:val="24"/>
        </w:rPr>
        <w:t xml:space="preserve">“Project,” </w:t>
      </w:r>
      <w:r>
        <w:rPr>
          <w:rFonts w:ascii="Times New Roman" w:hAnsi="Times New Roman"/>
          <w:b w:val="false"/>
          <w:i w:val="false"/>
          <w:color w:val="000000"/>
          <w:sz w:val="24"/>
        </w:rPr>
        <w:t xml:space="preserve">“Project completion date,” </w:t>
      </w:r>
      <w:r>
        <w:rPr>
          <w:rFonts w:ascii="Times New Roman" w:hAnsi="Times New Roman"/>
          <w:b w:val="false"/>
          <w:i w:val="false"/>
          <w:color w:val="000000"/>
          <w:sz w:val="24"/>
        </w:rPr>
        <w:t xml:space="preserve">“Qualifying investment,” </w:t>
      </w:r>
      <w:r>
        <w:rPr>
          <w:rFonts w:ascii="Times New Roman" w:hAnsi="Times New Roman"/>
          <w:b w:val="false"/>
          <w:i w:val="false"/>
          <w:color w:val="000000"/>
          <w:sz w:val="24"/>
        </w:rPr>
        <w:t xml:space="preserve">“Qualifying wage threshold,” </w:t>
      </w:r>
      <w:r>
        <w:rPr>
          <w:rFonts w:ascii="Times New Roman" w:hAnsi="Times New Roman"/>
          <w:b w:val="false"/>
          <w:i w:val="false"/>
          <w:color w:val="000000"/>
          <w:sz w:val="24"/>
        </w:rPr>
        <w:t xml:space="preserve">“Retained job” and </w:t>
      </w:r>
      <w:r>
        <w:rPr>
          <w:rFonts w:ascii="Times New Roman" w:hAnsi="Times New Roman"/>
          <w:b w:val="false"/>
          <w:i w:val="false"/>
          <w:color w:val="000000"/>
          <w:sz w:val="24"/>
        </w:rPr>
        <w:t>“Tax incentive,”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“Agreement”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agreement entered into pursuant to Iowa Code section </w:t>
      </w:r>
      <w:hyperlink r:id="rId6">
        <w:r>
          <w:rPr>
            <w:rStyle w:val="Hyperlink"/>
            <w:rFonts w:ascii="Times New Roman" w:hAnsi="Times New Roman"/>
            <w:b w:val="false"/>
            <w:i w:val="false"/>
            <w:color w:val="000000"/>
            <w:sz w:val="24"/>
          </w:rPr>
          <w:t>15.506</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“Base employment level”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“Benefits”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“Community”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“Created job”</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business”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business that meets the requirements of Iowa Code section </w:t>
      </w:r>
      <w:hyperlink r:id="rId11">
        <w:r>
          <w:rPr>
            <w:rStyle w:val="Hyperlink"/>
            <w:rFonts w:ascii="Times New Roman" w:hAnsi="Times New Roman"/>
            <w:b w:val="false"/>
            <w:i w:val="false"/>
            <w:color w:val="000000"/>
            <w:sz w:val="24"/>
          </w:rPr>
          <w:t>15.504</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“Financial assistance”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15.511</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“Full-time equivalent position”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3">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“Project”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5">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“Project completion date”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6">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“Qualifying investment”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7">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“Qualifying wage threshold”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8">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“Retained job”</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9">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“Tax incentive”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sales and use tax refund approved pursuant to Iowa Code section </w:t>
      </w:r>
      <w:hyperlink r:id="rId20">
        <w:r>
          <w:rPr>
            <w:rStyle w:val="Hyperlink"/>
            <w:rFonts w:ascii="Times New Roman" w:hAnsi="Times New Roman"/>
            <w:b w:val="false"/>
            <w:i w:val="false"/>
            <w:color w:val="000000"/>
            <w:sz w:val="24"/>
          </w:rPr>
          <w:t>15.507</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r>
        <w:rPr>
          <w:rFonts w:ascii="Times New Roman" w:hAnsi="Times New Roman"/>
          <w:b w:val="false"/>
          <w:i w:val="false"/>
          <w:color w:val="000000"/>
          <w:sz w:val="24"/>
          <w:u w:val="single"/>
        </w:rPr>
        <w:t>,</w:t>
      </w:r>
      <w:r>
        <w:rPr>
          <w:rFonts w:ascii="Times New Roman" w:hAnsi="Times New Roman"/>
          <w:b w:val="false"/>
          <w:i w:val="false"/>
          <w:color w:val="000000"/>
          <w:sz w:val="24"/>
        </w:rPr>
        <w:t xml:space="preserve"> a qualifying investment tax credit approved pursuant to Iowa Code section </w:t>
      </w:r>
      <w:hyperlink r:id="rId21">
        <w:r>
          <w:rPr>
            <w:rStyle w:val="Hyperlink"/>
            <w:rFonts w:ascii="Times New Roman" w:hAnsi="Times New Roman"/>
            <w:b w:val="false"/>
            <w:i w:val="false"/>
            <w:color w:val="000000"/>
            <w:sz w:val="24"/>
          </w:rPr>
          <w:t>15.508</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r>
        <w:rPr>
          <w:rFonts w:ascii="Times New Roman" w:hAnsi="Times New Roman"/>
          <w:b w:val="false"/>
          <w:i w:val="false"/>
          <w:color w:val="000000"/>
          <w:sz w:val="24"/>
          <w:u w:val="single"/>
        </w:rPr>
        <w:t>,</w:t>
      </w:r>
      <w:r>
        <w:rPr>
          <w:rFonts w:ascii="Times New Roman" w:hAnsi="Times New Roman"/>
          <w:b w:val="false"/>
          <w:i w:val="false"/>
          <w:color w:val="000000"/>
          <w:sz w:val="24"/>
        </w:rPr>
        <w:t xml:space="preserve"> or a combination of both.</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261—69.2(15)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261—69.2</w:t>
      </w:r>
      <w:r>
        <w:rPr>
          <w:rFonts w:ascii="Times New Roman" w:hAnsi="Times New Roman"/>
          <w:b/>
          <w:i w:val="false"/>
          <w:color w:val="000000"/>
          <w:sz w:val="24"/>
        </w:rPr>
        <w:t xml:space="preserve">(15) </w:t>
      </w:r>
      <w:r>
        <w:rPr>
          <w:rFonts w:ascii="Times New Roman" w:hAnsi="Times New Roman"/>
          <w:b/>
          <w:i w:val="false"/>
          <w:color w:val="000000"/>
          <w:sz w:val="24"/>
        </w:rPr>
        <w:t xml:space="preserve">Eligibility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69.2(1)</w:t>
      </w:r>
      <w:r>
        <w:rPr>
          <w:rFonts w:ascii="Times New Roman" w:hAnsi="Times New Roman"/>
          <w:b w:val="false"/>
          <w:i w:val="false"/>
          <w:color w:val="000000"/>
          <w:sz w:val="24"/>
        </w:rPr>
        <w:t> </w:t>
      </w:r>
      <w:r>
        <w:rPr>
          <w:rFonts w:ascii="Times New Roman" w:hAnsi="Times New Roman"/>
          <w:b w:val="false"/>
          <w:i/>
          <w:color w:val="000000"/>
          <w:sz w:val="24"/>
        </w:rPr>
        <w:t xml:space="preserve">Community approval. </w:t>
      </w:r>
      <w:r>
        <w:rPr>
          <w:rFonts w:ascii="Times New Roman" w:hAnsi="Times New Roman"/>
          <w:b w:val="false"/>
          <w:i w:val="false"/>
          <w:color w:val="000000"/>
          <w:sz w:val="24"/>
        </w:rPr>
        <w:t xml:space="preserve">Community approval of the project by ordinance or resolution is required as specified in Iowa Code section </w:t>
      </w:r>
      <w:hyperlink r:id="rId22">
        <w:r>
          <w:rPr>
            <w:rStyle w:val="Hyperlink"/>
            <w:rFonts w:ascii="Times New Roman" w:hAnsi="Times New Roman"/>
            <w:b w:val="false"/>
            <w:i w:val="false"/>
            <w:color w:val="000000"/>
            <w:sz w:val="24"/>
          </w:rPr>
          <w:t>15.504</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69.2(2)</w:t>
      </w:r>
      <w:r>
        <w:rPr>
          <w:rFonts w:ascii="Times New Roman" w:hAnsi="Times New Roman"/>
          <w:b w:val="false"/>
          <w:i w:val="false"/>
          <w:color w:val="000000"/>
          <w:sz w:val="24"/>
        </w:rPr>
        <w:t> </w:t>
      </w:r>
      <w:r>
        <w:rPr>
          <w:rFonts w:ascii="Times New Roman" w:hAnsi="Times New Roman"/>
          <w:b w:val="false"/>
          <w:i/>
          <w:color w:val="000000"/>
          <w:sz w:val="24"/>
        </w:rPr>
        <w:t xml:space="preserve">Eligible businesses.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purposes of determining whether a business is an eligible business type pursuant to Iowa Code section </w:t>
      </w:r>
      <w:hyperlink r:id="rId23">
        <w:r>
          <w:rPr>
            <w:rStyle w:val="Hyperlink"/>
            <w:rFonts w:ascii="Times New Roman" w:hAnsi="Times New Roman"/>
            <w:b w:val="false"/>
            <w:i w:val="false"/>
            <w:color w:val="000000"/>
            <w:sz w:val="24"/>
          </w:rPr>
          <w:t>15.504(1)</w:t>
        </w:r>
      </w:hyperlink>
      <w:r>
        <w:rPr>
          <w:rFonts w:ascii="Times New Roman" w:hAnsi="Times New Roman"/>
          <w:b w:val="false"/>
          <w:i/>
          <w:color w:val="000000"/>
          <w:sz w:val="24"/>
        </w:rPr>
        <w:t>“b</w:t>
      </w:r>
      <w:r>
        <w:rPr>
          <w:rFonts w:ascii="Times New Roman" w:hAnsi="Times New Roman"/>
          <w:b w:val="false"/>
          <w:i/>
          <w:color w:val="000000"/>
          <w:sz w:val="24"/>
          <w:u w:val="single"/>
        </w:rPr>
        <w:t>,</w:t>
      </w:r>
      <w:r>
        <w:rPr>
          <w:rFonts w:ascii="Times New Roman" w:hAnsi="Times New Roman"/>
          <w:b w:val="false"/>
          <w:i/>
          <w:color w:val="000000"/>
          <w:sz w:val="24"/>
        </w:rPr>
        <w:t>”</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“retail business” means any business primarily engaged in the business of sale at retail of tangible personal property or taxable services in this state or online. “Sale at retail” means the same as defined in Iowa Code section </w:t>
      </w:r>
      <w:hyperlink r:id="rId24">
        <w:r>
          <w:rPr>
            <w:rStyle w:val="Hyperlink"/>
            <w:rFonts w:ascii="Times New Roman" w:hAnsi="Times New Roman"/>
            <w:b w:val="false"/>
            <w:i w:val="false"/>
            <w:color w:val="000000"/>
            <w:sz w:val="24"/>
          </w:rPr>
          <w:t>423.1(46)</w:t>
        </w:r>
      </w:hyperlink>
      <w:r>
        <w:rPr>
          <w:rFonts w:ascii="Times New Roman" w:hAnsi="Times New Roman"/>
          <w:b w:val="false"/>
          <w:i w:val="false"/>
          <w:color w:val="000000"/>
          <w:sz w:val="24"/>
        </w:rPr>
        <w:t xml:space="preserve">. A business obligated to collect sales or use tax under Iowa Code chapter </w:t>
      </w:r>
      <w:hyperlink r:id="rId25">
        <w:r>
          <w:rPr>
            <w:rStyle w:val="Hyperlink"/>
            <w:rFonts w:ascii="Times New Roman" w:hAnsi="Times New Roman"/>
            <w:b w:val="false"/>
            <w:i w:val="false"/>
            <w:color w:val="000000"/>
            <w:sz w:val="24"/>
          </w:rPr>
          <w:t>423</w:t>
        </w:r>
      </w:hyperlink>
      <w:r>
        <w:rPr>
          <w:rFonts w:ascii="Times New Roman" w:hAnsi="Times New Roman"/>
          <w:b w:val="false"/>
          <w:i w:val="false"/>
          <w:color w:val="000000"/>
          <w:sz w:val="24"/>
        </w:rPr>
        <w:t xml:space="preserve"> may be an ineligible retail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business shall provide evidence that the business’s primary operations are in a qualifying industry pursuant to Iowa Code section </w:t>
      </w:r>
      <w:hyperlink r:id="rId26">
        <w:r>
          <w:rPr>
            <w:rStyle w:val="Hyperlink"/>
            <w:rFonts w:ascii="Times New Roman" w:hAnsi="Times New Roman"/>
            <w:b w:val="false"/>
            <w:i w:val="false"/>
            <w:color w:val="000000"/>
            <w:sz w:val="24"/>
          </w:rPr>
          <w:t>15.504(1)</w:t>
        </w:r>
      </w:hyperlink>
      <w:r>
        <w:rPr>
          <w:rFonts w:ascii="Times New Roman" w:hAnsi="Times New Roman"/>
          <w:b w:val="false"/>
          <w:i/>
          <w:color w:val="000000"/>
          <w:sz w:val="24"/>
        </w:rPr>
        <w:t>“b</w:t>
      </w:r>
      <w:r>
        <w:rPr>
          <w:rFonts w:ascii="Times New Roman" w:hAnsi="Times New Roman"/>
          <w:b w:val="false"/>
          <w:i/>
          <w:color w:val="000000"/>
          <w:sz w:val="24"/>
          <w:u w:val="single"/>
        </w:rPr>
        <w:t>.</w:t>
      </w:r>
      <w:r>
        <w:rPr>
          <w:rFonts w:ascii="Times New Roman" w:hAnsi="Times New Roman"/>
          <w:b w:val="false"/>
          <w:i/>
          <w:color w:val="000000"/>
          <w:sz w:val="24"/>
        </w:rPr>
        <w:t>”</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Such evidence may include but is not limited to whether the business has a North American industry classification system (NAICS) number aligned with the relevant industries as determined by the authority. Businesses with other NAICS numbers will be required to document to the authority’s satisfaction that the business is primarily engaged in an applicable industry identified in Iowa Code section </w:t>
      </w:r>
      <w:hyperlink r:id="rId27">
        <w:r>
          <w:rPr>
            <w:rStyle w:val="Hyperlink"/>
            <w:rFonts w:ascii="Times New Roman" w:hAnsi="Times New Roman"/>
            <w:b w:val="false"/>
            <w:i w:val="false"/>
            <w:color w:val="000000"/>
            <w:sz w:val="24"/>
          </w:rPr>
          <w:t>15.504(1)</w:t>
        </w:r>
      </w:hyperlink>
      <w:r>
        <w:rPr>
          <w:rFonts w:ascii="Times New Roman" w:hAnsi="Times New Roman"/>
          <w:b w:val="false"/>
          <w:i/>
          <w:color w:val="000000"/>
          <w:sz w:val="24"/>
        </w:rPr>
        <w:t>“b”</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based on factors including but not limited to sources of revenue and customer base.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business shall demonstrate it is not a data center business that is ineligible for the program pursuant to Iowa Code section </w:t>
      </w:r>
      <w:hyperlink r:id="rId28">
        <w:r>
          <w:rPr>
            <w:rStyle w:val="Hyperlink"/>
            <w:rFonts w:ascii="Times New Roman" w:hAnsi="Times New Roman"/>
            <w:b w:val="false"/>
            <w:i w:val="false"/>
            <w:color w:val="000000"/>
            <w:sz w:val="24"/>
          </w:rPr>
          <w:t>15.504(1)</w:t>
        </w:r>
      </w:hyperlink>
      <w:r>
        <w:rPr>
          <w:rFonts w:ascii="Times New Roman" w:hAnsi="Times New Roman"/>
          <w:b w:val="false"/>
          <w:i/>
          <w:color w:val="000000"/>
          <w:sz w:val="24"/>
        </w:rPr>
        <w:t>“b</w:t>
      </w:r>
      <w:r>
        <w:rPr>
          <w:rFonts w:ascii="Times New Roman" w:hAnsi="Times New Roman"/>
          <w:b w:val="false"/>
          <w:i/>
          <w:color w:val="000000"/>
          <w:sz w:val="24"/>
          <w:u w:val="single"/>
        </w:rPr>
        <w:t>.</w:t>
      </w:r>
      <w:r>
        <w:rPr>
          <w:rFonts w:ascii="Times New Roman" w:hAnsi="Times New Roman"/>
          <w:b w:val="false"/>
          <w:i/>
          <w:color w:val="000000"/>
          <w:sz w:val="24"/>
        </w:rPr>
        <w:t>”</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69.2(3)</w:t>
      </w:r>
      <w:r>
        <w:rPr>
          <w:rFonts w:ascii="Times New Roman" w:hAnsi="Times New Roman"/>
          <w:b w:val="false"/>
          <w:i w:val="false"/>
          <w:color w:val="000000"/>
          <w:sz w:val="24"/>
        </w:rPr>
        <w:t> </w:t>
      </w:r>
      <w:r>
        <w:rPr>
          <w:rFonts w:ascii="Times New Roman" w:hAnsi="Times New Roman"/>
          <w:b w:val="false"/>
          <w:i/>
          <w:color w:val="000000"/>
          <w:sz w:val="24"/>
        </w:rPr>
        <w:t xml:space="preserve">Relocations and reductions in operations. </w:t>
      </w:r>
      <w:r>
        <w:rPr>
          <w:rFonts w:ascii="Times New Roman" w:hAnsi="Times New Roman"/>
          <w:b w:val="false"/>
          <w:i w:val="false"/>
          <w:color w:val="000000"/>
          <w:sz w:val="24"/>
        </w:rPr>
        <w:t xml:space="preserve">The authority will determine whether a business is ineligible due to a relocation or reduction in operations pursuant to Iowa Code section </w:t>
      </w:r>
      <w:hyperlink r:id="rId29">
        <w:r>
          <w:rPr>
            <w:rStyle w:val="Hyperlink"/>
            <w:rFonts w:ascii="Times New Roman" w:hAnsi="Times New Roman"/>
            <w:b w:val="false"/>
            <w:i w:val="false"/>
            <w:color w:val="000000"/>
            <w:sz w:val="24"/>
          </w:rPr>
          <w:t>15.504(1)</w:t>
        </w:r>
        <w:r>
          <w:rPr>
            <w:rFonts w:ascii="Times New Roman" w:hAnsi="Times New Roman"/>
            <w:b w:val="false"/>
            <w:i/>
            <w:color w:val="000000"/>
            <w:sz w:val="24"/>
          </w:rPr>
          <w:t>“c</w:t>
        </w:r>
        <w:r>
          <w:rPr>
            <w:rFonts w:ascii="Times New Roman" w:hAnsi="Times New Roman"/>
            <w:b w:val="false"/>
            <w:i/>
            <w:color w:val="000000"/>
            <w:sz w:val="24"/>
            <w:u w:val="single"/>
          </w:rPr>
          <w:t>.</w:t>
        </w:r>
        <w:r>
          <w:rPr>
            <w:rFonts w:ascii="Times New Roman" w:hAnsi="Times New Roman"/>
            <w:b w:val="false"/>
            <w:i/>
            <w:color w:val="000000"/>
            <w:sz w:val="24"/>
          </w:rPr>
          <w:t>”</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For the purposes of this subrule, “reduction in operations” includes but is not limited to a layoff during the 12 months before an application is submitted to the authority.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69.2(4)</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69.2(5)</w:t>
      </w:r>
      <w:r>
        <w:rPr>
          <w:rFonts w:ascii="Times New Roman" w:hAnsi="Times New Roman"/>
          <w:b w:val="false"/>
          <w:i w:val="false"/>
          <w:color w:val="000000"/>
          <w:sz w:val="24"/>
        </w:rPr>
        <w:t> </w:t>
      </w:r>
      <w:r>
        <w:rPr>
          <w:rFonts w:ascii="Times New Roman" w:hAnsi="Times New Roman"/>
          <w:b w:val="false"/>
          <w:i/>
          <w:color w:val="000000"/>
          <w:sz w:val="24"/>
        </w:rPr>
        <w:t xml:space="preserve">Violations of law. </w:t>
      </w:r>
      <w:r>
        <w:rPr>
          <w:rFonts w:ascii="Times New Roman" w:hAnsi="Times New Roman"/>
          <w:b w:val="false"/>
          <w:i w:val="false"/>
          <w:color w:val="000000"/>
          <w:sz w:val="24"/>
        </w:rPr>
        <w:t xml:space="preserve">The authority will address violations of law as described in Iowa Code section </w:t>
      </w:r>
      <w:hyperlink r:id="rId30">
        <w:r>
          <w:rPr>
            <w:rStyle w:val="Hyperlink"/>
            <w:rFonts w:ascii="Times New Roman" w:hAnsi="Times New Roman"/>
            <w:b w:val="false"/>
            <w:i w:val="false"/>
            <w:color w:val="000000"/>
            <w:sz w:val="24"/>
          </w:rPr>
          <w:t>15.504(1)</w:t>
        </w:r>
      </w:hyperlink>
      <w:r>
        <w:rPr>
          <w:rFonts w:ascii="Times New Roman" w:hAnsi="Times New Roman"/>
          <w:b w:val="false"/>
          <w:i/>
          <w:color w:val="000000"/>
          <w:sz w:val="24"/>
        </w:rPr>
        <w:t>“e</w:t>
      </w:r>
      <w:r>
        <w:rPr>
          <w:rFonts w:ascii="Times New Roman" w:hAnsi="Times New Roman"/>
          <w:b w:val="false"/>
          <w:i/>
          <w:color w:val="000000"/>
          <w:sz w:val="24"/>
          <w:u w:val="single"/>
        </w:rPr>
        <w:t>.</w:t>
      </w:r>
      <w:r>
        <w:rPr>
          <w:rFonts w:ascii="Times New Roman" w:hAnsi="Times New Roman"/>
          <w:b w:val="false"/>
          <w:i/>
          <w:color w:val="000000"/>
          <w:sz w:val="24"/>
        </w:rPr>
        <w:t>”</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69.2(6)</w:t>
      </w:r>
      <w:r>
        <w:rPr>
          <w:rFonts w:ascii="Times New Roman" w:hAnsi="Times New Roman"/>
          <w:b w:val="false"/>
          <w:i w:val="false"/>
          <w:color w:val="000000"/>
          <w:sz w:val="24"/>
        </w:rPr>
        <w:t> </w:t>
      </w:r>
      <w:r>
        <w:rPr>
          <w:rFonts w:ascii="Times New Roman" w:hAnsi="Times New Roman"/>
          <w:b w:val="false"/>
          <w:i/>
          <w:color w:val="000000"/>
          <w:sz w:val="24"/>
        </w:rPr>
        <w:t xml:space="preserve">Sufficient economic impact. </w:t>
      </w:r>
      <w:r>
        <w:rPr>
          <w:rFonts w:ascii="Times New Roman" w:hAnsi="Times New Roman"/>
          <w:b w:val="false"/>
          <w:i w:val="false"/>
          <w:color w:val="000000"/>
          <w:sz w:val="24"/>
        </w:rPr>
        <w:t xml:space="preserve">The business shall demonstrate that the project has a sufficient economic impact as described in Iowa Code section </w:t>
      </w:r>
      <w:hyperlink r:id="rId31">
        <w:r>
          <w:rPr>
            <w:rStyle w:val="Hyperlink"/>
            <w:rFonts w:ascii="Times New Roman" w:hAnsi="Times New Roman"/>
            <w:b w:val="false"/>
            <w:i w:val="false"/>
            <w:color w:val="000000"/>
            <w:sz w:val="24"/>
          </w:rPr>
          <w:t>15.504(2)</w:t>
        </w:r>
      </w:hyperlink>
      <w:r>
        <w:rPr>
          <w:rFonts w:ascii="Times New Roman" w:hAnsi="Times New Roman"/>
          <w:b w:val="false"/>
          <w:i/>
          <w:color w:val="000000"/>
          <w:sz w:val="24"/>
        </w:rPr>
        <w:t>“b</w:t>
      </w:r>
      <w:r>
        <w:rPr>
          <w:rFonts w:ascii="Times New Roman" w:hAnsi="Times New Roman"/>
          <w:b w:val="false"/>
          <w:i/>
          <w:color w:val="000000"/>
          <w:sz w:val="24"/>
          <w:u w:val="single"/>
        </w:rPr>
        <w:t>.</w:t>
      </w:r>
      <w:r>
        <w:rPr>
          <w:rFonts w:ascii="Times New Roman" w:hAnsi="Times New Roman"/>
          <w:b w:val="false"/>
          <w:i/>
          <w:color w:val="000000"/>
          <w:sz w:val="24"/>
        </w:rPr>
        <w:t>”</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69.2(7)</w:t>
      </w:r>
      <w:r>
        <w:rPr>
          <w:rFonts w:ascii="Times New Roman" w:hAnsi="Times New Roman"/>
          <w:b w:val="false"/>
          <w:i w:val="false"/>
          <w:color w:val="000000"/>
          <w:sz w:val="24"/>
        </w:rPr>
        <w:t xml:space="preserve"> to </w:t>
      </w:r>
      <w:r>
        <w:rPr>
          <w:rFonts w:ascii="Times New Roman" w:hAnsi="Times New Roman"/>
          <w:b/>
          <w:i w:val="false"/>
          <w:color w:val="000000"/>
          <w:sz w:val="24"/>
        </w:rPr>
        <w:t>69.2(9)</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69.2(10)</w:t>
      </w:r>
      <w:r>
        <w:rPr>
          <w:rFonts w:ascii="Times New Roman" w:hAnsi="Times New Roman"/>
          <w:b w:val="false"/>
          <w:i w:val="false"/>
          <w:color w:val="000000"/>
          <w:sz w:val="24"/>
        </w:rPr>
        <w:t> </w:t>
      </w:r>
      <w:r>
        <w:rPr>
          <w:rFonts w:ascii="Times New Roman" w:hAnsi="Times New Roman"/>
          <w:b w:val="false"/>
          <w:i/>
          <w:color w:val="000000"/>
          <w:sz w:val="24"/>
        </w:rPr>
        <w:t xml:space="preserve">Other factors. </w:t>
      </w:r>
      <w:r>
        <w:rPr>
          <w:rFonts w:ascii="Times New Roman" w:hAnsi="Times New Roman"/>
          <w:b w:val="false"/>
          <w:i w:val="false"/>
          <w:color w:val="000000"/>
          <w:sz w:val="24"/>
        </w:rPr>
        <w:t xml:space="preserve">The authority shall consider any applicable additional factors pursuant to Iowa Code section </w:t>
      </w:r>
      <w:hyperlink r:id="rId32">
        <w:r>
          <w:rPr>
            <w:rStyle w:val="Hyperlink"/>
            <w:rFonts w:ascii="Times New Roman" w:hAnsi="Times New Roman"/>
            <w:b w:val="false"/>
            <w:i w:val="false"/>
            <w:color w:val="000000"/>
            <w:sz w:val="24"/>
          </w:rPr>
          <w:t>15.504(2)</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r>
        <w:rPr>
          <w:rFonts w:ascii="Times New Roman" w:hAnsi="Times New Roman"/>
          <w:b w:val="false"/>
          <w:i w:val="false"/>
          <w:color w:val="000000"/>
          <w:sz w:val="24"/>
        </w:rPr>
        <w:t> to determine whether a business is an eligible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69.2(11)</w:t>
      </w:r>
      <w:r>
        <w:rPr>
          <w:rFonts w:ascii="Times New Roman" w:hAnsi="Times New Roman"/>
          <w:b w:val="false"/>
          <w:i w:val="false"/>
          <w:color w:val="000000"/>
          <w:sz w:val="24"/>
        </w:rPr>
        <w:t> </w:t>
      </w:r>
      <w:r>
        <w:rPr>
          <w:rFonts w:ascii="Times New Roman" w:hAnsi="Times New Roman"/>
          <w:b w:val="false"/>
          <w:i/>
          <w:color w:val="000000"/>
          <w:sz w:val="24"/>
        </w:rPr>
        <w:t xml:space="preserve">Ineligible projects.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activities are presumed by the authority to lack sufficient economic impact to accomplish the goals of the program and are not eligible for the program pursuant to Iowa Code section </w:t>
      </w:r>
      <w:hyperlink r:id="rId33">
        <w:r>
          <w:rPr>
            <w:rStyle w:val="Hyperlink"/>
            <w:rFonts w:ascii="Times New Roman" w:hAnsi="Times New Roman"/>
            <w:b w:val="false"/>
            <w:i w:val="false"/>
            <w:color w:val="000000"/>
            <w:sz w:val="24"/>
          </w:rPr>
          <w:t>15.504(2)</w:t>
        </w:r>
      </w:hyperlink>
      <w:r>
        <w:rPr>
          <w:rFonts w:ascii="Times New Roman" w:hAnsi="Times New Roman"/>
          <w:b w:val="false"/>
          <w:i/>
          <w:color w:val="000000"/>
          <w:sz w:val="24"/>
        </w:rPr>
        <w:t>“b</w:t>
      </w:r>
      <w:r>
        <w:rPr>
          <w:rFonts w:ascii="Times New Roman" w:hAnsi="Times New Roman"/>
          <w:b w:val="false"/>
          <w:i/>
          <w:color w:val="000000"/>
          <w:sz w:val="24"/>
          <w:u w:val="single"/>
        </w:rPr>
        <w:t>.</w:t>
      </w:r>
      <w:r>
        <w:rPr>
          <w:rFonts w:ascii="Times New Roman" w:hAnsi="Times New Roman"/>
          <w:b w:val="false"/>
          <w:i/>
          <w:color w:val="000000"/>
          <w:sz w:val="24"/>
        </w:rPr>
        <w:t>”</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project representing solely acquisition of a business as a going concern that does not include creation or retention of jobs and qualifying investment at the acquired business facility is not eligible for the program. A qualified project that occurs following acquisition of a business as a going concern may be eligible for the program</w:t>
      </w:r>
      <w:r>
        <w:rPr>
          <w:rFonts w:ascii="Times New Roman" w:hAnsi="Times New Roman"/>
          <w:b w:val="false"/>
          <w:i w:val="false"/>
          <w:color w:val="000000"/>
          <w:sz w:val="24"/>
          <w:u w:val="single"/>
        </w:rPr>
        <w:t>, but the purchase of a business as a going concern and its existing assets will not be included as an eligible business’s qualifying investment</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69.2(12)</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69.3(3)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69.3(3)</w:t>
      </w:r>
      <w:r>
        <w:rPr>
          <w:rFonts w:ascii="Times New Roman" w:hAnsi="Times New Roman"/>
          <w:b w:val="false"/>
          <w:i w:val="false"/>
          <w:color w:val="000000"/>
          <w:sz w:val="24"/>
        </w:rPr>
        <w:t> </w:t>
      </w:r>
      <w:r>
        <w:rPr>
          <w:rFonts w:ascii="Times New Roman" w:hAnsi="Times New Roman"/>
          <w:b w:val="false"/>
          <w:i/>
          <w:color w:val="000000"/>
          <w:sz w:val="24"/>
        </w:rPr>
        <w:t xml:space="preserve">Water conservation and waste reduction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To determine whether a water conservation and waste reduction plan is required pursuant to Iowa Code section </w:t>
      </w:r>
      <w:hyperlink r:id="rId34">
        <w:r>
          <w:rPr>
            <w:rStyle w:val="Hyperlink"/>
            <w:rFonts w:ascii="Times New Roman" w:hAnsi="Times New Roman"/>
            <w:b w:val="false"/>
            <w:i w:val="false"/>
            <w:color w:val="000000"/>
            <w:sz w:val="24"/>
          </w:rPr>
          <w:t>15.505(1)</w:t>
        </w:r>
      </w:hyperlink>
      <w:r>
        <w:rPr>
          <w:rFonts w:ascii="Times New Roman" w:hAnsi="Times New Roman"/>
          <w:b w:val="false"/>
          <w:i/>
          <w:color w:val="000000"/>
          <w:sz w:val="24"/>
        </w:rPr>
        <w:t>“b</w:t>
      </w:r>
      <w:r>
        <w:rPr>
          <w:rFonts w:ascii="Times New Roman" w:hAnsi="Times New Roman"/>
          <w:b w:val="false"/>
          <w:i/>
          <w:color w:val="000000"/>
          <w:sz w:val="24"/>
          <w:u w:val="single"/>
        </w:rPr>
        <w:t>,</w:t>
      </w:r>
      <w:r>
        <w:rPr>
          <w:rFonts w:ascii="Times New Roman" w:hAnsi="Times New Roman"/>
          <w:b w:val="false"/>
          <w:i/>
          <w:color w:val="000000"/>
          <w:sz w:val="24"/>
        </w:rPr>
        <w:t>”</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the authority will consider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required, the water conservation and waste reduction plan required by Iowa Code section </w:t>
      </w:r>
      <w:hyperlink r:id="rId35">
        <w:r>
          <w:rPr>
            <w:rStyle w:val="Hyperlink"/>
            <w:rFonts w:ascii="Times New Roman" w:hAnsi="Times New Roman"/>
            <w:b w:val="false"/>
            <w:i w:val="false"/>
            <w:color w:val="000000"/>
            <w:sz w:val="24"/>
          </w:rPr>
          <w:t>15.505(1)</w:t>
        </w:r>
      </w:hyperlink>
      <w:r>
        <w:rPr>
          <w:rFonts w:ascii="Times New Roman" w:hAnsi="Times New Roman"/>
          <w:b w:val="false"/>
          <w:i/>
          <w:color w:val="000000"/>
          <w:sz w:val="24"/>
        </w:rPr>
        <w:t>“b”</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shall be submitted to the authority as an attachment to the standardized application developed by the authority. The plan should be developed by an employee or third-party provider with sufficient professional expertise to determine the anticipated water consumption and wastewater discharge for the project. The plan shall describe the impact of the project on the applicable water provider and the community or communities served by the applicable water provider and any measures to be taken by the business to mitigate its water consumption or wastewater discharge.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69.3(6)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69.3(6)</w:t>
      </w:r>
      <w:r>
        <w:rPr>
          <w:rFonts w:ascii="Times New Roman" w:hAnsi="Times New Roman"/>
          <w:b w:val="false"/>
          <w:i w:val="false"/>
          <w:color w:val="000000"/>
          <w:sz w:val="24"/>
        </w:rPr>
        <w:t> </w:t>
      </w:r>
      <w:r>
        <w:rPr>
          <w:rFonts w:ascii="Times New Roman" w:hAnsi="Times New Roman"/>
          <w:b w:val="false"/>
          <w:i/>
          <w:color w:val="000000"/>
          <w:sz w:val="24"/>
        </w:rPr>
        <w:t xml:space="preserve">Investment requirements. </w:t>
      </w:r>
      <w:r>
        <w:rPr>
          <w:rFonts w:ascii="Times New Roman" w:hAnsi="Times New Roman"/>
          <w:b w:val="false"/>
          <w:i w:val="false"/>
          <w:color w:val="000000"/>
          <w:sz w:val="24"/>
        </w:rPr>
        <w:t xml:space="preserve">The investment requirements applicable to a project will be established at the time of application. Investment requirements are based on an eligible business’s estimates of total project costs and qualifying investment and will be utilized to determine the amount of tax incentives and financial assistance. For the purposes of determining whether an expenditure is a qualifying investment as defined in Iowa Code section </w:t>
      </w:r>
      <w:hyperlink r:id="rId36">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 the following are considered a capital investment in depreciable assets for use in the operation of an eligible business: machinery and equipment used in the manufacturing process, computer hardware, and furniture and fixtures. The following will not be considered a capital investment in depreciable assets for use in the operation of an eligible business: any other machinery and equipment, racking or shelving, computer software, and research and development.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69.4(1)“a”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Economic impact. </w:t>
      </w:r>
      <w:r>
        <w:rPr>
          <w:rFonts w:ascii="Times New Roman" w:hAnsi="Times New Roman"/>
          <w:b w:val="false"/>
          <w:i w:val="false"/>
          <w:color w:val="000000"/>
          <w:sz w:val="24"/>
        </w:rPr>
        <w:t xml:space="preserve">The extent to which an eligible business’s proposed project demonstrates economic impact on the state based on the factors identified in Iowa Code section </w:t>
      </w:r>
      <w:hyperlink r:id="rId37">
        <w:r>
          <w:rPr>
            <w:rStyle w:val="Hyperlink"/>
            <w:rFonts w:ascii="Times New Roman" w:hAnsi="Times New Roman"/>
            <w:b w:val="false"/>
            <w:i w:val="false"/>
            <w:color w:val="000000"/>
            <w:sz w:val="24"/>
          </w:rPr>
          <w:t>15.504(2)</w:t>
        </w:r>
      </w:hyperlink>
      <w:r>
        <w:rPr>
          <w:rFonts w:ascii="Times New Roman" w:hAnsi="Times New Roman"/>
          <w:b w:val="false"/>
          <w:i/>
          <w:color w:val="000000"/>
          <w:sz w:val="24"/>
        </w:rPr>
        <w:t>“b</w:t>
      </w:r>
      <w:r>
        <w:rPr>
          <w:rFonts w:ascii="Times New Roman" w:hAnsi="Times New Roman"/>
          <w:b w:val="false"/>
          <w:i/>
          <w:color w:val="000000"/>
          <w:sz w:val="24"/>
          <w:u w:val="single"/>
        </w:rPr>
        <w:t>.</w:t>
      </w:r>
      <w:r>
        <w:rPr>
          <w:rFonts w:ascii="Times New Roman" w:hAnsi="Times New Roman"/>
          <w:b w:val="false"/>
          <w:i/>
          <w:color w:val="000000"/>
          <w:sz w:val="24"/>
        </w:rPr>
        <w:t>”</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69.4(4)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69.4(4)</w:t>
      </w:r>
      <w:r>
        <w:rPr>
          <w:rFonts w:ascii="Times New Roman" w:hAnsi="Times New Roman"/>
          <w:b w:val="false"/>
          <w:i w:val="false"/>
          <w:color w:val="000000"/>
          <w:sz w:val="24"/>
        </w:rPr>
        <w:t> </w:t>
      </w:r>
      <w:r>
        <w:rPr>
          <w:rFonts w:ascii="Times New Roman" w:hAnsi="Times New Roman"/>
          <w:b w:val="false"/>
          <w:i w:val="false"/>
          <w:color w:val="000000"/>
          <w:sz w:val="24"/>
        </w:rPr>
        <w:t xml:space="preserve">Only projects that demonstrate extensive economic impact will be awarded the maximum amounts of tax incentives allowed pursuant to Iowa Code section </w:t>
      </w:r>
      <w:hyperlink r:id="rId38">
        <w:r>
          <w:rPr>
            <w:rStyle w:val="Hyperlink"/>
            <w:rFonts w:ascii="Times New Roman" w:hAnsi="Times New Roman"/>
            <w:b w:val="false"/>
            <w:i w:val="false"/>
            <w:color w:val="000000"/>
            <w:sz w:val="24"/>
          </w:rPr>
          <w:t>15.505(3)</w:t>
        </w:r>
      </w:hyperlink>
      <w:r>
        <w:rPr>
          <w:rFonts w:ascii="Times New Roman" w:hAnsi="Times New Roman"/>
          <w:b w:val="false"/>
          <w:i/>
          <w:color w:val="000000"/>
          <w:sz w:val="24"/>
        </w:rPr>
        <w:t>“a</w:t>
      </w:r>
      <w:r>
        <w:rPr>
          <w:rFonts w:ascii="Times New Roman" w:hAnsi="Times New Roman"/>
          <w:b w:val="false"/>
          <w:i/>
          <w:color w:val="000000"/>
          <w:sz w:val="24"/>
          <w:u w:val="single"/>
        </w:rPr>
        <w:t>.</w:t>
      </w:r>
      <w:r>
        <w:rPr>
          <w:rFonts w:ascii="Times New Roman" w:hAnsi="Times New Roman"/>
          <w:b w:val="false"/>
          <w:i/>
          <w:color w:val="000000"/>
          <w:sz w:val="24"/>
        </w:rPr>
        <w:t>”</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r>
        <w:rPr>
          <w:rFonts w:ascii="Times New Roman" w:hAnsi="Times New Roman"/>
          <w:b w:val="false"/>
          <w:i w:val="false"/>
          <w:color w:val="000000"/>
          <w:sz w:val="24"/>
        </w:rPr>
        <w:t> Whether the project demonstrates extensive economic impact is within the sole discretion of the board.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69.4(5)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69.4(5)</w:t>
      </w:r>
      <w:r>
        <w:rPr>
          <w:rFonts w:ascii="Times New Roman" w:hAnsi="Times New Roman"/>
          <w:b w:val="false"/>
          <w:i w:val="false"/>
          <w:color w:val="000000"/>
          <w:sz w:val="24"/>
        </w:rPr>
        <w:t> </w:t>
      </w:r>
      <w:r>
        <w:rPr>
          <w:rFonts w:ascii="Times New Roman" w:hAnsi="Times New Roman"/>
          <w:b w:val="false"/>
          <w:i w:val="false"/>
          <w:color w:val="000000"/>
          <w:sz w:val="24"/>
        </w:rPr>
        <w:t xml:space="preserve">In addition to the considerations in subrules </w:t>
      </w:r>
      <w:hyperlink r:id="rId39">
        <w:r>
          <w:rPr>
            <w:rStyle w:val="Hyperlink"/>
            <w:rFonts w:ascii="Times New Roman" w:hAnsi="Times New Roman"/>
            <w:b w:val="false"/>
            <w:i w:val="false"/>
            <w:color w:val="000000"/>
            <w:sz w:val="24"/>
          </w:rPr>
          <w:t>69.4(1)</w:t>
        </w:r>
      </w:hyperlink>
      <w:r>
        <w:rPr>
          <w:rFonts w:ascii="Times New Roman" w:hAnsi="Times New Roman"/>
          <w:b w:val="false"/>
          <w:i w:val="false"/>
          <w:color w:val="000000"/>
          <w:sz w:val="24"/>
        </w:rPr>
        <w:t xml:space="preserve"> through </w:t>
      </w:r>
      <w:hyperlink r:id="rId40">
        <w:r>
          <w:rPr>
            <w:rStyle w:val="Hyperlink"/>
            <w:rFonts w:ascii="Times New Roman" w:hAnsi="Times New Roman"/>
            <w:b w:val="false"/>
            <w:i w:val="false"/>
            <w:color w:val="000000"/>
            <w:sz w:val="24"/>
          </w:rPr>
          <w:t>69.4(4)</w:t>
        </w:r>
      </w:hyperlink>
      <w:r>
        <w:rPr>
          <w:rFonts w:ascii="Times New Roman" w:hAnsi="Times New Roman"/>
          <w:b w:val="false"/>
          <w:i w:val="false"/>
          <w:color w:val="000000"/>
          <w:sz w:val="24"/>
        </w:rPr>
        <w:t xml:space="preserve">, award negotiations may be impacted by the available amount of investment tax credits allocated pursuant to Iowa Code section </w:t>
      </w:r>
      <w:hyperlink r:id="rId41">
        <w:r>
          <w:rPr>
            <w:rStyle w:val="Hyperlink"/>
            <w:rFonts w:ascii="Times New Roman" w:hAnsi="Times New Roman"/>
            <w:b w:val="false"/>
            <w:i w:val="false"/>
            <w:color w:val="000000"/>
            <w:sz w:val="24"/>
          </w:rPr>
          <w:t>15.119(2)</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amended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or the amount of financial assistance available pursuant to Iowa Code section </w:t>
      </w:r>
      <w:hyperlink r:id="rId42">
        <w:r>
          <w:rPr>
            <w:rStyle w:val="Hyperlink"/>
            <w:rFonts w:ascii="Times New Roman" w:hAnsi="Times New Roman"/>
            <w:b w:val="false"/>
            <w:i w:val="false"/>
            <w:color w:val="000000"/>
            <w:sz w:val="24"/>
          </w:rPr>
          <w:t>15.111</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 xml:space="preserve">.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261—69.5(15)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261—69.5</w:t>
      </w:r>
      <w:r>
        <w:rPr>
          <w:rFonts w:ascii="Times New Roman" w:hAnsi="Times New Roman"/>
          <w:b/>
          <w:i w:val="false"/>
          <w:color w:val="000000"/>
          <w:sz w:val="24"/>
        </w:rPr>
        <w:t xml:space="preserve">(15) </w:t>
      </w:r>
      <w:r>
        <w:rPr>
          <w:rFonts w:ascii="Times New Roman" w:hAnsi="Times New Roman"/>
          <w:b/>
          <w:i w:val="false"/>
          <w:color w:val="000000"/>
          <w:sz w:val="24"/>
        </w:rPr>
        <w:t xml:space="preserve">Tax incentives. </w:t>
      </w:r>
      <w:r>
        <w:rPr>
          <w:rFonts w:ascii="Times New Roman" w:hAnsi="Times New Roman"/>
          <w:b w:val="false"/>
          <w:i w:val="false"/>
          <w:color w:val="000000"/>
          <w:sz w:val="24"/>
        </w:rPr>
        <w:t xml:space="preserve">The authority may approve a business to receive any combination of applicable tax incentives allowed through the program pursuant to Iowa Code section </w:t>
      </w:r>
      <w:hyperlink r:id="rId43">
        <w:r>
          <w:rPr>
            <w:rStyle w:val="Hyperlink"/>
            <w:rFonts w:ascii="Times New Roman" w:hAnsi="Times New Roman"/>
            <w:b w:val="false"/>
            <w:i w:val="false"/>
            <w:color w:val="000000"/>
            <w:sz w:val="24"/>
          </w:rPr>
          <w:t>15.507</w:t>
        </w:r>
      </w:hyperlink>
      <w:r>
        <w:rPr>
          <w:rFonts w:ascii="Times New Roman" w:hAnsi="Times New Roman"/>
          <w:b w:val="false"/>
          <w:i w:val="false"/>
          <w:color w:val="000000"/>
          <w:sz w:val="24"/>
        </w:rPr>
        <w:t xml:space="preserve"> or </w:t>
      </w:r>
      <w:hyperlink r:id="rId44">
        <w:r>
          <w:rPr>
            <w:rStyle w:val="Hyperlink"/>
            <w:rFonts w:ascii="Times New Roman" w:hAnsi="Times New Roman"/>
            <w:b w:val="false"/>
            <w:i w:val="false"/>
            <w:color w:val="000000"/>
            <w:sz w:val="24"/>
          </w:rPr>
          <w:t>15.508</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 An approved business shall not claim a tax incentive in excess of the amount specified in an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69.5(1)</w:t>
      </w:r>
      <w:r>
        <w:rPr>
          <w:rFonts w:ascii="Times New Roman" w:hAnsi="Times New Roman"/>
          <w:b w:val="false"/>
          <w:i w:val="false"/>
          <w:color w:val="000000"/>
          <w:sz w:val="24"/>
        </w:rPr>
        <w:t> </w:t>
      </w:r>
      <w:r>
        <w:rPr>
          <w:rFonts w:ascii="Times New Roman" w:hAnsi="Times New Roman"/>
          <w:b w:val="false"/>
          <w:i/>
          <w:color w:val="000000"/>
          <w:sz w:val="24"/>
        </w:rPr>
        <w:t xml:space="preserve">Property tax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authority will only approve a property tax exemption pursuant to Iowa Code section </w:t>
      </w:r>
      <w:hyperlink r:id="rId45">
        <w:r>
          <w:rPr>
            <w:rStyle w:val="Hyperlink"/>
            <w:rFonts w:ascii="Times New Roman" w:hAnsi="Times New Roman"/>
            <w:b w:val="false"/>
            <w:i w:val="false"/>
            <w:color w:val="000000"/>
            <w:sz w:val="24"/>
          </w:rPr>
          <w:t>15.510</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if other tax incentives or financial assistance through the program are also approved.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 community approves an exemption from taxation pursuant to Iowa Code section </w:t>
      </w:r>
      <w:hyperlink r:id="rId46">
        <w:r>
          <w:rPr>
            <w:rStyle w:val="Hyperlink"/>
            <w:rFonts w:ascii="Times New Roman" w:hAnsi="Times New Roman"/>
            <w:b w:val="false"/>
            <w:i w:val="false"/>
            <w:color w:val="000000"/>
            <w:sz w:val="24"/>
          </w:rPr>
          <w:t>15.510</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 the community shall provide the authority and the local assessor with a copy of the resolution adopted by the community’s governing body that indicates the estimated value and duration of the authorized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69.5(2)</w:t>
      </w:r>
      <w:r>
        <w:rPr>
          <w:rFonts w:ascii="Times New Roman" w:hAnsi="Times New Roman"/>
          <w:b w:val="false"/>
          <w:i w:val="false"/>
          <w:color w:val="000000"/>
          <w:sz w:val="24"/>
        </w:rPr>
        <w:t> </w:t>
      </w:r>
      <w:r>
        <w:rPr>
          <w:rFonts w:ascii="Times New Roman" w:hAnsi="Times New Roman"/>
          <w:b w:val="false"/>
          <w:i/>
          <w:color w:val="000000"/>
          <w:sz w:val="24"/>
        </w:rPr>
        <w:t xml:space="preserve">Investment tax credit—treatment of rent. </w:t>
      </w:r>
      <w:r>
        <w:rPr>
          <w:rFonts w:ascii="Times New Roman" w:hAnsi="Times New Roman"/>
          <w:b w:val="false"/>
          <w:i w:val="false"/>
          <w:color w:val="000000"/>
          <w:sz w:val="24"/>
        </w:rPr>
        <w:t xml:space="preserve">The annual base rent paid to a third-party developer by an approved business may be considered new investment for the purpose of an investment tax credit approved pursuant to Iowa Code section </w:t>
      </w:r>
      <w:hyperlink r:id="rId47">
        <w:r>
          <w:rPr>
            <w:rStyle w:val="Hyperlink"/>
            <w:rFonts w:ascii="Times New Roman" w:hAnsi="Times New Roman"/>
            <w:b w:val="false"/>
            <w:i w:val="false"/>
            <w:color w:val="000000"/>
            <w:sz w:val="24"/>
          </w:rPr>
          <w:t>15.508</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 Annual base rent incurred during the term of an agreement may be included as new investment. For the purposes of this subrule, “annual base rent” means the business’s annual lease payment minus taxes, insurance and operating or maintenance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69.5(3)</w:t>
      </w:r>
      <w:r>
        <w:rPr>
          <w:rFonts w:ascii="Times New Roman" w:hAnsi="Times New Roman"/>
          <w:b w:val="false"/>
          <w:i w:val="false"/>
          <w:color w:val="000000"/>
          <w:sz w:val="24"/>
        </w:rPr>
        <w:t> </w:t>
      </w:r>
      <w:r>
        <w:rPr>
          <w:rFonts w:ascii="Times New Roman" w:hAnsi="Times New Roman"/>
          <w:b w:val="false"/>
          <w:i/>
          <w:color w:val="000000"/>
          <w:sz w:val="24"/>
        </w:rPr>
        <w:t xml:space="preserve">Investment tax credit—issuance, amortization and claims. </w:t>
      </w:r>
      <w:r>
        <w:rPr>
          <w:rFonts w:ascii="Times New Roman" w:hAnsi="Times New Roman"/>
          <w:b w:val="false"/>
          <w:i w:val="false"/>
          <w:color w:val="000000"/>
          <w:sz w:val="24"/>
        </w:rPr>
        <w:t xml:space="preserve">The business must notify the authority that its project has been placed in service and document its total project cost, including its qualifying investment, to receive a tax credit certificate. A business shall not receive a tax credit certificate following the placement of a portion of its project in service unless such portion is approved by the authority at the time of application and specified in the agreement. The five-year amortization of a qualifying investment tax credit issued pursuant to Iowa Code section </w:t>
      </w:r>
      <w:hyperlink r:id="rId48">
        <w:r>
          <w:rPr>
            <w:rStyle w:val="Hyperlink"/>
            <w:rFonts w:ascii="Times New Roman" w:hAnsi="Times New Roman"/>
            <w:b w:val="false"/>
            <w:i w:val="false"/>
            <w:color w:val="000000"/>
            <w:sz w:val="24"/>
          </w:rPr>
          <w:t>15.508</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shall begin no earlier than the year the credit is issued. Each amortized portion of the credit shall be claimed in the tax year it becomes available except to the extent an overpayment is credited to the immediately succeeding tax year.</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261—69.6(15)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261—69.6</w:t>
      </w:r>
      <w:r>
        <w:rPr>
          <w:rFonts w:ascii="Times New Roman" w:hAnsi="Times New Roman"/>
          <w:b/>
          <w:i w:val="false"/>
          <w:color w:val="000000"/>
          <w:sz w:val="24"/>
        </w:rPr>
        <w:t xml:space="preserve">(15) </w:t>
      </w:r>
      <w:r>
        <w:rPr>
          <w:rFonts w:ascii="Times New Roman" w:hAnsi="Times New Roman"/>
          <w:b/>
          <w:i w:val="false"/>
          <w:color w:val="000000"/>
          <w:sz w:val="24"/>
        </w:rPr>
        <w:t xml:space="preserve">Financial assistance. </w:t>
      </w:r>
      <w:r>
        <w:rPr>
          <w:rFonts w:ascii="Times New Roman" w:hAnsi="Times New Roman"/>
          <w:b w:val="false"/>
          <w:i w:val="false"/>
          <w:color w:val="000000"/>
          <w:sz w:val="24"/>
        </w:rPr>
        <w:t xml:space="preserve">The authority may award financial assistance pursuant to Iowa Code sections </w:t>
      </w:r>
      <w:hyperlink r:id="rId49">
        <w:r>
          <w:rPr>
            <w:rStyle w:val="Hyperlink"/>
            <w:rFonts w:ascii="Times New Roman" w:hAnsi="Times New Roman"/>
            <w:b w:val="false"/>
            <w:i w:val="false"/>
            <w:color w:val="000000"/>
            <w:sz w:val="24"/>
          </w:rPr>
          <w:t>15.111</w:t>
        </w:r>
      </w:hyperlink>
      <w:r>
        <w:rPr>
          <w:rFonts w:ascii="Times New Roman" w:hAnsi="Times New Roman"/>
          <w:b w:val="false"/>
          <w:i w:val="false"/>
          <w:color w:val="000000"/>
          <w:sz w:val="24"/>
        </w:rPr>
        <w:t xml:space="preserve"> and </w:t>
      </w:r>
      <w:hyperlink r:id="rId50">
        <w:r>
          <w:rPr>
            <w:rStyle w:val="Hyperlink"/>
            <w:rFonts w:ascii="Times New Roman" w:hAnsi="Times New Roman"/>
            <w:b w:val="false"/>
            <w:i w:val="false"/>
            <w:color w:val="000000"/>
            <w:sz w:val="24"/>
          </w:rPr>
          <w:t>15.511</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 Awards of financial assistance shall be entirely at the discretion of the board.</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69.7(2)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69.7(2)</w:t>
      </w:r>
      <w:r>
        <w:rPr>
          <w:rFonts w:ascii="Times New Roman" w:hAnsi="Times New Roman"/>
          <w:b w:val="false"/>
          <w:i w:val="false"/>
          <w:color w:val="000000"/>
          <w:sz w:val="24"/>
        </w:rPr>
        <w:t> </w:t>
      </w:r>
      <w:r>
        <w:rPr>
          <w:rFonts w:ascii="Times New Roman" w:hAnsi="Times New Roman"/>
          <w:b w:val="false"/>
          <w:i/>
          <w:color w:val="000000"/>
          <w:sz w:val="24"/>
        </w:rPr>
        <w:t xml:space="preserve">Requirements. </w:t>
      </w:r>
      <w:r>
        <w:rPr>
          <w:rFonts w:ascii="Times New Roman" w:hAnsi="Times New Roman"/>
          <w:b w:val="false"/>
          <w:i w:val="false"/>
          <w:color w:val="000000"/>
          <w:sz w:val="24"/>
        </w:rPr>
        <w:t xml:space="preserve">An agreement shall meet all requirements of and be administered pursuant to Iowa Code section </w:t>
      </w:r>
      <w:hyperlink r:id="rId51">
        <w:r>
          <w:rPr>
            <w:rStyle w:val="Hyperlink"/>
            <w:rFonts w:ascii="Times New Roman" w:hAnsi="Times New Roman"/>
            <w:b w:val="false"/>
            <w:i w:val="false"/>
            <w:color w:val="000000"/>
            <w:sz w:val="24"/>
          </w:rPr>
          <w:t>15.506</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69.7(9)“b”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Tax incentives. </w:t>
      </w:r>
      <w:r>
        <w:rPr>
          <w:rFonts w:ascii="Times New Roman" w:hAnsi="Times New Roman"/>
          <w:b w:val="false"/>
          <w:i w:val="false"/>
          <w:color w:val="000000"/>
          <w:sz w:val="24"/>
        </w:rPr>
        <w:t xml:space="preserve">If the authority determines that a recipient is in default, the eligible business may be required to repay tax incentives pursuant to Iowa Code section </w:t>
      </w:r>
      <w:hyperlink r:id="rId52">
        <w:r>
          <w:rPr>
            <w:rStyle w:val="Hyperlink"/>
            <w:rFonts w:ascii="Times New Roman" w:hAnsi="Times New Roman"/>
            <w:b w:val="false"/>
            <w:i w:val="false"/>
            <w:color w:val="000000"/>
            <w:sz w:val="24"/>
          </w:rPr>
          <w:t>15.506(1)</w:t>
        </w:r>
      </w:hyperlink>
      <w:r>
        <w:rPr>
          <w:rFonts w:ascii="Times New Roman" w:hAnsi="Times New Roman"/>
          <w:b w:val="false"/>
          <w:i/>
          <w:color w:val="000000"/>
          <w:sz w:val="24"/>
        </w:rPr>
        <w:t>“b</w:t>
      </w:r>
      <w:r>
        <w:rPr>
          <w:rFonts w:ascii="Times New Roman" w:hAnsi="Times New Roman"/>
          <w:b w:val="false"/>
          <w:i/>
          <w:color w:val="000000"/>
          <w:sz w:val="24"/>
          <w:u w:val="single"/>
        </w:rPr>
        <w:t>.</w:t>
      </w:r>
      <w:r>
        <w:rPr>
          <w:rFonts w:ascii="Times New Roman" w:hAnsi="Times New Roman"/>
          <w:b w:val="false"/>
          <w:i/>
          <w:color w:val="000000"/>
          <w:sz w:val="24"/>
        </w:rPr>
        <w:t>”</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The repayment amount is subject to applicable interest and penalties as determined by the department of revenue. If the business is an entity that has elected pass-through taxation status for income tax purposes, the department of revenue may undertake collection efforts against members, individuals or shareholders to whom the tax incentives were passed through.</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69.7(9)“d”</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Notice of default. </w:t>
      </w:r>
      <w:r>
        <w:rPr>
          <w:rFonts w:ascii="Times New Roman" w:hAnsi="Times New Roman"/>
          <w:b w:val="false"/>
          <w:i w:val="false"/>
          <w:color w:val="000000"/>
          <w:sz w:val="24"/>
        </w:rPr>
        <w:t xml:space="preserve">The authority will notify a business of an event of default as described in the agreement. If the community in which the project is located provided a property tax exemption pursuant to Iowa Code section </w:t>
      </w:r>
      <w:hyperlink r:id="rId53">
        <w:r>
          <w:rPr>
            <w:rStyle w:val="Hyperlink"/>
            <w:rFonts w:ascii="Times New Roman" w:hAnsi="Times New Roman"/>
            <w:b w:val="false"/>
            <w:i w:val="false"/>
            <w:color w:val="000000"/>
            <w:sz w:val="24"/>
          </w:rPr>
          <w:t>15.510</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color w:val="000000"/>
          <w:sz w:val="24"/>
        </w:rPr>
        <w:t>, the authority will also notify the community of an event of default as described in the agreement.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69.7(10)</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69.7(10)</w:t>
      </w:r>
      <w:r>
        <w:rPr>
          <w:rFonts w:ascii="Times New Roman" w:hAnsi="Times New Roman"/>
          <w:b w:val="false"/>
          <w:i w:val="false"/>
          <w:color w:val="000000"/>
          <w:sz w:val="24"/>
        </w:rPr>
        <w:t> </w:t>
      </w:r>
      <w:r>
        <w:rPr>
          <w:rFonts w:ascii="Times New Roman" w:hAnsi="Times New Roman"/>
          <w:b w:val="false"/>
          <w:i/>
          <w:color w:val="000000"/>
          <w:sz w:val="24"/>
        </w:rPr>
        <w:t xml:space="preserve">Amendments. </w:t>
      </w:r>
      <w:r>
        <w:rPr>
          <w:rFonts w:ascii="Times New Roman" w:hAnsi="Times New Roman"/>
          <w:b w:val="false"/>
          <w:i w:val="false"/>
          <w:color w:val="000000"/>
          <w:sz w:val="24"/>
        </w:rPr>
        <w:t xml:space="preserve">Agreement amendments must comply with Iowa Code chapter </w:t>
      </w:r>
      <w:hyperlink r:id="rId54">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33,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and this chapter. Recipients may submit requests for amendments to authority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board may delegate authority to authority staff to approve nonsubstantive changes to the agreement,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(7)</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Termination of an agreement following declination of all awarded program benefits by an eligible business.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14.</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261—69.10(15)</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261—69.10</w:t>
      </w:r>
      <w:r>
        <w:rPr>
          <w:rFonts w:ascii="Times New Roman" w:hAnsi="Times New Roman"/>
          <w:b/>
          <w:i w:val="false"/>
          <w:color w:val="000000"/>
          <w:sz w:val="24"/>
        </w:rPr>
        <w:t xml:space="preserve">(15) </w:t>
      </w:r>
      <w:r>
        <w:rPr>
          <w:rFonts w:ascii="Times New Roman" w:hAnsi="Times New Roman"/>
          <w:b/>
          <w:i w:val="false"/>
          <w:color w:val="000000"/>
          <w:sz w:val="24"/>
        </w:rPr>
        <w:t xml:space="preserve">Training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69.10(1)</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purposes of this rule, the following definitions apply: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“Funded training”</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training that is eligible for reimbursement from the training fund created pursuant to Iowa Code section </w:t>
      </w:r>
      <w:hyperlink r:id="rId55">
        <w:r>
          <w:rPr>
            <w:rStyle w:val="Hyperlink"/>
            <w:rFonts w:ascii="Times New Roman" w:hAnsi="Times New Roman"/>
            <w:b w:val="false"/>
            <w:i w:val="false"/>
            <w:color w:val="000000"/>
            <w:sz w:val="24"/>
          </w:rPr>
          <w:t>15.512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 xml:space="preserve">, and pursuant to this rule.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“Training”</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structured process of instruction designed to develop technical and specialized skills required to perform job-specific tasks effectively, including courses, labs, simulations, and hands-on exercises either on the job or in a classroom or field 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“Training fund”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business incentives for growth program training fund created pursuant to Iowa Code section </w:t>
      </w:r>
      <w:hyperlink r:id="rId56">
        <w:r>
          <w:rPr>
            <w:rStyle w:val="Hyperlink"/>
            <w:rFonts w:ascii="Times New Roman" w:hAnsi="Times New Roman"/>
            <w:b w:val="false"/>
            <w:i w:val="false"/>
            <w:color w:val="000000"/>
            <w:sz w:val="24"/>
          </w:rPr>
          <w:t>15.512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“Training fund assistance”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funds obligated for an eligible business from the training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69.10(2)</w:t>
      </w:r>
      <w:r>
        <w:rPr>
          <w:rFonts w:ascii="Times New Roman" w:hAnsi="Times New Roman"/>
          <w:b w:val="false"/>
          <w:i w:val="false"/>
          <w:color w:val="000000"/>
          <w:sz w:val="24"/>
        </w:rPr>
        <w:t> </w:t>
      </w:r>
      <w:r>
        <w:rPr>
          <w:rFonts w:ascii="Times New Roman" w:hAnsi="Times New Roman"/>
          <w:b w:val="false"/>
          <w:i w:val="false"/>
          <w:color w:val="000000"/>
          <w:sz w:val="24"/>
        </w:rPr>
        <w:t xml:space="preserve">An eligible business shall indicate intent to apply for training fund assistance in the application submitted pursuant to rule </w:t>
      </w:r>
      <w:hyperlink r:id="rId57">
        <w:r>
          <w:rPr>
            <w:rStyle w:val="Hyperlink"/>
            <w:rFonts w:ascii="Times New Roman" w:hAnsi="Times New Roman"/>
            <w:b w:val="false"/>
            <w:i w:val="false"/>
            <w:color w:val="000000"/>
            <w:sz w:val="24"/>
          </w:rPr>
          <w:t>261—69.3</w:t>
        </w:r>
      </w:hyperlink>
      <w:r>
        <w:rPr>
          <w:rFonts w:ascii="Times New Roman" w:hAnsi="Times New Roman"/>
          <w:b w:val="false"/>
          <w:i w:val="false"/>
          <w:color w:val="000000"/>
          <w:sz w:val="24"/>
        </w:rPr>
        <w:t xml:space="preserve">(15). An eligible business seeking training fund assistance must provide a training plan with the application that includes but is not limited to training objectives, scope, provider(s), timeline, participating employees, and budget.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69.10(3)</w:t>
      </w:r>
      <w:r>
        <w:rPr>
          <w:rFonts w:ascii="Times New Roman" w:hAnsi="Times New Roman"/>
          <w:b w:val="false"/>
          <w:i w:val="false"/>
          <w:color w:val="000000"/>
          <w:sz w:val="24"/>
        </w:rPr>
        <w:t> </w:t>
      </w:r>
      <w:r>
        <w:rPr>
          <w:rFonts w:ascii="Times New Roman" w:hAnsi="Times New Roman"/>
          <w:b w:val="false"/>
          <w:i w:val="false"/>
          <w:color w:val="000000"/>
          <w:sz w:val="24"/>
        </w:rPr>
        <w:t xml:space="preserve">In negotiating the availability of, the terms of, and the aggregate value of training fund assistance, the authority will consider a variety of factors, including but not limited to the factors identified in subrule </w:t>
      </w:r>
      <w:hyperlink r:id="rId58">
        <w:r>
          <w:rPr>
            <w:rStyle w:val="Hyperlink"/>
            <w:rFonts w:ascii="Times New Roman" w:hAnsi="Times New Roman"/>
            <w:b w:val="false"/>
            <w:i w:val="false"/>
            <w:color w:val="000000"/>
            <w:sz w:val="24"/>
          </w:rPr>
          <w:t>69.4(1)</w:t>
        </w:r>
      </w:hyperlink>
      <w:r>
        <w:rPr>
          <w:rFonts w:ascii="Times New Roman" w:hAnsi="Times New Roman"/>
          <w:b w:val="false"/>
          <w:i w:val="false"/>
          <w:color w:val="000000"/>
          <w:sz w:val="24"/>
        </w:rPr>
        <w:t xml:space="preserve"> and the measurable outcomes of the proposed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69.10(4)</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authority may approve an eligible business for training fund assistance pursuant to Iowa Code section </w:t>
      </w:r>
      <w:hyperlink r:id="rId59">
        <w:r>
          <w:rPr>
            <w:rStyle w:val="Hyperlink"/>
            <w:rFonts w:ascii="Times New Roman" w:hAnsi="Times New Roman"/>
            <w:b w:val="false"/>
            <w:i w:val="false"/>
            <w:color w:val="000000"/>
            <w:sz w:val="24"/>
          </w:rPr>
          <w:t>15.512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 xml:space="preserve">. For an eligible business that has been approved for training fund assistance, the agreement will indicate the number of jobs expected to participate in the training and the maximum amount that may be credited to the training fund from the withholding payments to be paid by the business.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69.10(5)</w:t>
      </w:r>
      <w:r>
        <w:rPr>
          <w:rFonts w:ascii="Times New Roman" w:hAnsi="Times New Roman"/>
          <w:b w:val="false"/>
          <w:i w:val="false"/>
          <w:color w:val="000000"/>
          <w:sz w:val="24"/>
        </w:rPr>
        <w:t> </w:t>
      </w:r>
      <w:r>
        <w:rPr>
          <w:rFonts w:ascii="Times New Roman" w:hAnsi="Times New Roman"/>
          <w:b w:val="false"/>
          <w:i w:val="false"/>
          <w:color w:val="000000"/>
          <w:sz w:val="24"/>
        </w:rPr>
        <w:t xml:space="preserve">Only designated amounts of withholding payments made by an eligible business for jobs to participate in funded training shall be credited to the training fund. Amounts may be credited to the training fund for the purposes of reimbursing an eligible business’s training costs for up to ten years from the date the board approves training fund assistance. Funds that are not requested by an eligible business within one year of the contract end date will be deobligated.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69.10(6)</w:t>
      </w:r>
      <w:r>
        <w:rPr>
          <w:rFonts w:ascii="Times New Roman" w:hAnsi="Times New Roman"/>
          <w:b w:val="false"/>
          <w:i w:val="false"/>
          <w:color w:val="000000"/>
          <w:sz w:val="24"/>
        </w:rPr>
        <w:t> </w:t>
      </w:r>
      <w:r>
        <w:rPr>
          <w:rFonts w:ascii="Times New Roman" w:hAnsi="Times New Roman"/>
          <w:b w:val="false"/>
          <w:i w:val="false"/>
          <w:color w:val="000000"/>
          <w:sz w:val="24"/>
        </w:rPr>
        <w:t>The amount of training assistance that any one eligible business may receive shall not exceed 50 percent of eligible training expenses incurred by the business and documented to the satisfaction of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Eligible training expenditures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Costs paid to qualified third-party training providers for instruction and training materials;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Supplies, equipment, and software necessary for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Travel costs for training;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Testing fees or other fees associated with obtaining credentials following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Ineligible expenditures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Wages paid to employees during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Expenses associated with general employee onboarding or orientation;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Expenses associated with conference or trade show attendance;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Amounts paid to a related entity for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Expenses for items that will not exclusively be used by the business for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Training that leads directly to professional degrees in medicine, law, accounting or other professional areas or that includes safety training, succession planning, or behavior skills such as communication, leadership, teamwork, or conflict management;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Expenses incurred to reimburse consultants, legal fees or any administrative expenses related to the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Expenses incurred to provide training to executives, consultants, or independent contractors;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Expenses incurred more than four years after the date the board approves training fund assistance.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69.10(7)</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authority may consult with Iowa workforce development to determine whether an eligible business should be awarded training fund assistance, the amount and terms of training fund assistance, and whether expenditures should be considered eligible for reimbursement.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261—Chapter 69</w:t>
      </w:r>
      <w:r>
        <w:rPr>
          <w:rFonts w:ascii="Times New Roman" w:hAnsi="Times New Roman"/>
          <w:b w:val="false"/>
          <w:i w:val="false"/>
          <w:color w:val="000000"/>
          <w:sz w:val="24"/>
        </w:rPr>
        <w:t>, implementation sentence</w:t>
      </w:r>
      <w:r>
        <w:rPr>
          <w:rFonts w:ascii="Times New Roman" w:hAnsi="Times New Roman"/>
          <w:b w:val="false"/>
          <w:i w:val="false"/>
          <w:color w:val="000000"/>
          <w:sz w:val="24"/>
        </w:rPr>
        <w:t>, as follows:</w:t>
      </w:r>
    </w:p>
    <w:p>
      <w:pPr>
        <w:spacing w:before="0" w:after="0" w:line="480"/>
        <w:ind w:left="120"/>
        <w:jc w:val="left"/>
      </w:pPr>
      <w:r>
        <w:rPr>
          <w:rFonts w:ascii="Times New Roman" w:hAnsi="Times New Roman"/>
          <w:b w:val="false"/>
          <w:i w:val="false"/>
          <w:color w:val="000000"/>
          <w:sz w:val="24"/>
        </w:rPr>
        <w:t xml:space="preserve">These rules are intended to implement Iowa Code chapter </w:t>
      </w:r>
      <w:hyperlink r:id="rId60">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33,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2025 Iowa Acts, Senate File 657</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and section </w:t>
      </w:r>
      <w:hyperlink r:id="rId61">
        <w:r>
          <w:rPr>
            <w:rStyle w:val="Hyperlink"/>
            <w:rFonts w:ascii="Times New Roman" w:hAnsi="Times New Roman"/>
            <w:b w:val="false"/>
            <w:i w:val="false"/>
            <w:color w:val="000000"/>
            <w:sz w:val="24"/>
          </w:rPr>
          <w:t>15A.1</w:t>
        </w:r>
      </w:hyperlink>
      <w:r>
        <w:rPr>
          <w:rFonts w:ascii="Times New Roman" w:hAnsi="Times New Roman"/>
          <w:b w:val="false"/>
          <w:i w:val="false"/>
          <w:color w:val="000000"/>
          <w:sz w:val="24"/>
        </w:rPr>
        <w:t>.</w:t>
      </w:r>
    </w:p>
    <w:sectPr>
      <w:footerReference r:id="rId6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lisa.connell@iowaeda.com" Type="http://schemas.openxmlformats.org/officeDocument/2006/relationships/hyperlink" Id="rId5"/>
    <Relationship TargetMode="External" Target="https://www.legis.iowa.gov/docs/ico/chapter/15.506.pdf" Type="http://schemas.openxmlformats.org/officeDocument/2006/relationships/hyperlink" Id="rId6"/>
    <Relationship TargetMode="External" Target="https://www.legis.iowa.gov/docs/ico/chapter/15.503.pdf" Type="http://schemas.openxmlformats.org/officeDocument/2006/relationships/hyperlink" Id="rId7"/>
    <Relationship TargetMode="External" Target="https://www.legis.iowa.gov/docs/ico/chapter/15.503.pdf" Type="http://schemas.openxmlformats.org/officeDocument/2006/relationships/hyperlink" Id="rId8"/>
    <Relationship TargetMode="External" Target="https://www.legis.iowa.gov/docs/ico/chapter/15.503.pdf" Type="http://schemas.openxmlformats.org/officeDocument/2006/relationships/hyperlink" Id="rId9"/>
    <Relationship TargetMode="External" Target="https://www.legis.iowa.gov/docs/ico/chapter/15.503.pdf" Type="http://schemas.openxmlformats.org/officeDocument/2006/relationships/hyperlink" Id="rId10"/>
    <Relationship TargetMode="External" Target="https://www.legis.iowa.gov/docs/ico/chapter/15.504.pdf" Type="http://schemas.openxmlformats.org/officeDocument/2006/relationships/hyperlink" Id="rId11"/>
    <Relationship TargetMode="External" Target="https://www.legis.iowa.gov/docs/ico/chapter/15.511.pdf" Type="http://schemas.openxmlformats.org/officeDocument/2006/relationships/hyperlink" Id="rId12"/>
    <Relationship TargetMode="External" Target="https://www.legis.iowa.gov/docs/ico/chapter/15.503.pdf" Type="http://schemas.openxmlformats.org/officeDocument/2006/relationships/hyperlink" Id="rId13"/>
    <Relationship TargetMode="External" Target="https://www.legis.iowa.gov/docs/ico/chapter/15.503.pdf" Type="http://schemas.openxmlformats.org/officeDocument/2006/relationships/hyperlink" Id="rId14"/>
    <Relationship TargetMode="External" Target="https://www.legis.iowa.gov/docs/ico/chapter/15.503.pdf" Type="http://schemas.openxmlformats.org/officeDocument/2006/relationships/hyperlink" Id="rId15"/>
    <Relationship TargetMode="External" Target="https://www.legis.iowa.gov/docs/ico/chapter/15.503.pdf" Type="http://schemas.openxmlformats.org/officeDocument/2006/relationships/hyperlink" Id="rId16"/>
    <Relationship TargetMode="External" Target="https://www.legis.iowa.gov/docs/ico/chapter/15.503.pdf" Type="http://schemas.openxmlformats.org/officeDocument/2006/relationships/hyperlink" Id="rId17"/>
    <Relationship TargetMode="External" Target="https://www.legis.iowa.gov/docs/ico/chapter/15.503.pdf" Type="http://schemas.openxmlformats.org/officeDocument/2006/relationships/hyperlink" Id="rId18"/>
    <Relationship TargetMode="External" Target="https://www.legis.iowa.gov/docs/ico/chapter/15.503.pdf" Type="http://schemas.openxmlformats.org/officeDocument/2006/relationships/hyperlink" Id="rId19"/>
    <Relationship TargetMode="External" Target="https://www.legis.iowa.gov/docs/ico/chapter/15.507.pdf" Type="http://schemas.openxmlformats.org/officeDocument/2006/relationships/hyperlink" Id="rId20"/>
    <Relationship TargetMode="External" Target="https://www.legis.iowa.gov/docs/ico/chapter/15.508.pdf" Type="http://schemas.openxmlformats.org/officeDocument/2006/relationships/hyperlink" Id="rId21"/>
    <Relationship TargetMode="External" Target="https://www.legis.iowa.gov/docs/ico/chapter/15.504.pdf" Type="http://schemas.openxmlformats.org/officeDocument/2006/relationships/hyperlink" Id="rId22"/>
    <Relationship TargetMode="External" Target="https://www.legis.iowa.gov/docs/ico/chapter/15.504.pdf" Type="http://schemas.openxmlformats.org/officeDocument/2006/relationships/hyperlink" Id="rId23"/>
    <Relationship TargetMode="External" Target="https://www.legis.iowa.gov/docs/ico/chapter/423.1.pdf" Type="http://schemas.openxmlformats.org/officeDocument/2006/relationships/hyperlink" Id="rId24"/>
    <Relationship TargetMode="External" Target="https://www.legis.iowa.gov/docs/ico/chapter/423.pdf" Type="http://schemas.openxmlformats.org/officeDocument/2006/relationships/hyperlink" Id="rId25"/>
    <Relationship TargetMode="External" Target="https://www.legis.iowa.gov/docs/ico/chapter/15.504.pdf" Type="http://schemas.openxmlformats.org/officeDocument/2006/relationships/hyperlink" Id="rId26"/>
    <Relationship TargetMode="External" Target="https://www.legis.iowa.gov/docs/ico/chapter/15.504.pdf" Type="http://schemas.openxmlformats.org/officeDocument/2006/relationships/hyperlink" Id="rId27"/>
    <Relationship TargetMode="External" Target="https://www.legis.iowa.gov/docs/ico/chapter/15.504.pdf" Type="http://schemas.openxmlformats.org/officeDocument/2006/relationships/hyperlink" Id="rId28"/>
    <Relationship TargetMode="External" Target="https://www.legis.iowa.gov/docs/ico/chapter/15.504.pdf" Type="http://schemas.openxmlformats.org/officeDocument/2006/relationships/hyperlink" Id="rId29"/>
    <Relationship TargetMode="External" Target="https://www.legis.iowa.gov/docs/ico/chapter/15.504.pdf" Type="http://schemas.openxmlformats.org/officeDocument/2006/relationships/hyperlink" Id="rId30"/>
    <Relationship TargetMode="External" Target="https://www.legis.iowa.gov/docs/ico/chapter/15.504.pdf" Type="http://schemas.openxmlformats.org/officeDocument/2006/relationships/hyperlink" Id="rId31"/>
    <Relationship TargetMode="External" Target="https://www.legis.iowa.gov/docs/ico/chapter/15.504.pdf" Type="http://schemas.openxmlformats.org/officeDocument/2006/relationships/hyperlink" Id="rId32"/>
    <Relationship TargetMode="External" Target="https://www.legis.iowa.gov/docs/ico/chapter/15.504.pdf" Type="http://schemas.openxmlformats.org/officeDocument/2006/relationships/hyperlink" Id="rId33"/>
    <Relationship TargetMode="External" Target="https://www.legis.iowa.gov/docs/ico/chapter/15.505.pdf" Type="http://schemas.openxmlformats.org/officeDocument/2006/relationships/hyperlink" Id="rId34"/>
    <Relationship TargetMode="External" Target="https://www.legis.iowa.gov/docs/ico/chapter/15.505.pdf" Type="http://schemas.openxmlformats.org/officeDocument/2006/relationships/hyperlink" Id="rId35"/>
    <Relationship TargetMode="External" Target="https://www.legis.iowa.gov/docs/ico/chapter/15.503.pdf" Type="http://schemas.openxmlformats.org/officeDocument/2006/relationships/hyperlink" Id="rId36"/>
    <Relationship TargetMode="External" Target="https://www.legis.iowa.gov/docs/ico/chapter/15.504.pdf" Type="http://schemas.openxmlformats.org/officeDocument/2006/relationships/hyperlink" Id="rId37"/>
    <Relationship TargetMode="External" Target="https://www.legis.iowa.gov/docs/ico/chapter/15.505.pdf" Type="http://schemas.openxmlformats.org/officeDocument/2006/relationships/hyperlink" Id="rId38"/>
    <Relationship TargetMode="External" Target="https://www.legis.iowa.gov/docs/iac/rule/261.69.4.pdf" Type="http://schemas.openxmlformats.org/officeDocument/2006/relationships/hyperlink" Id="rId39"/>
    <Relationship TargetMode="External" Target="https://www.legis.iowa.gov/docs/iac/rule/261.69.4.pdf" Type="http://schemas.openxmlformats.org/officeDocument/2006/relationships/hyperlink" Id="rId40"/>
    <Relationship TargetMode="External" Target="https://www.legis.iowa.gov/docs/ico/chapter/15.119.pdf" Type="http://schemas.openxmlformats.org/officeDocument/2006/relationships/hyperlink" Id="rId41"/>
    <Relationship TargetMode="External" Target="https://www.legis.iowa.gov/docs/ico/chapter/15.111.pdf" Type="http://schemas.openxmlformats.org/officeDocument/2006/relationships/hyperlink" Id="rId42"/>
    <Relationship TargetMode="External" Target="https://www.legis.iowa.gov/docs/ico/chapter/15.507.pdf" Type="http://schemas.openxmlformats.org/officeDocument/2006/relationships/hyperlink" Id="rId43"/>
    <Relationship TargetMode="External" Target="https://www.legis.iowa.gov/docs/ico/chapter/15.508.pdf" Type="http://schemas.openxmlformats.org/officeDocument/2006/relationships/hyperlink" Id="rId44"/>
    <Relationship TargetMode="External" Target="https://www.legis.iowa.gov/docs/ico/chapter/15.510.pdf" Type="http://schemas.openxmlformats.org/officeDocument/2006/relationships/hyperlink" Id="rId45"/>
    <Relationship TargetMode="External" Target="https://www.legis.iowa.gov/docs/ico/chapter/15.510.pdf" Type="http://schemas.openxmlformats.org/officeDocument/2006/relationships/hyperlink" Id="rId46"/>
    <Relationship TargetMode="External" Target="https://www.legis.iowa.gov/docs/ico/chapter/15.508.pdf" Type="http://schemas.openxmlformats.org/officeDocument/2006/relationships/hyperlink" Id="rId47"/>
    <Relationship TargetMode="External" Target="https://www.legis.iowa.gov/docs/ico/chapter/15.508.pdf" Type="http://schemas.openxmlformats.org/officeDocument/2006/relationships/hyperlink" Id="rId48"/>
    <Relationship TargetMode="External" Target="https://www.legis.iowa.gov/docs/ico/chapter/15.111.pdf" Type="http://schemas.openxmlformats.org/officeDocument/2006/relationships/hyperlink" Id="rId49"/>
    <Relationship TargetMode="External" Target="https://www.legis.iowa.gov/docs/ico/chapter/15.511.pdf" Type="http://schemas.openxmlformats.org/officeDocument/2006/relationships/hyperlink" Id="rId50"/>
    <Relationship TargetMode="External" Target="https://www.legis.iowa.gov/docs/ico/chapter/15.506.pdf" Type="http://schemas.openxmlformats.org/officeDocument/2006/relationships/hyperlink" Id="rId51"/>
    <Relationship TargetMode="External" Target="https://www.legis.iowa.gov/docs/ico/chapter/15.506.pdf" Type="http://schemas.openxmlformats.org/officeDocument/2006/relationships/hyperlink" Id="rId52"/>
    <Relationship TargetMode="External" Target="https://www.legis.iowa.gov/docs/ico/chapter/15.510.pdf" Type="http://schemas.openxmlformats.org/officeDocument/2006/relationships/hyperlink" Id="rId53"/>
    <Relationship TargetMode="External" Target="https://www.legis.iowa.gov/docs/ico/chapter/15.pdf" Type="http://schemas.openxmlformats.org/officeDocument/2006/relationships/hyperlink" Id="rId54"/>
    <Relationship TargetMode="External" Target="https://www.legis.iowa.gov/docs/ico/chapter/15.512.pdf" Type="http://schemas.openxmlformats.org/officeDocument/2006/relationships/hyperlink" Id="rId55"/>
    <Relationship TargetMode="External" Target="https://www.legis.iowa.gov/docs/ico/chapter/15.512.pdf" Type="http://schemas.openxmlformats.org/officeDocument/2006/relationships/hyperlink" Id="rId56"/>
    <Relationship TargetMode="External" Target="https://www.legis.iowa.gov/docs/iac/rule/261.69.3.pdf" Type="http://schemas.openxmlformats.org/officeDocument/2006/relationships/hyperlink" Id="rId57"/>
    <Relationship TargetMode="External" Target="https://www.legis.iowa.gov/docs/iac/rule/261.69.4.pdf" Type="http://schemas.openxmlformats.org/officeDocument/2006/relationships/hyperlink" Id="rId58"/>
    <Relationship TargetMode="External" Target="https://www.legis.iowa.gov/docs/ico/chapter/15.512.pdf" Type="http://schemas.openxmlformats.org/officeDocument/2006/relationships/hyperlink" Id="rId59"/>
    <Relationship TargetMode="External" Target="https://www.legis.iowa.gov/docs/ico/chapter/15.pdf" Type="http://schemas.openxmlformats.org/officeDocument/2006/relationships/hyperlink" Id="rId60"/>
    <Relationship TargetMode="External" Target="https://www.legis.iowa.gov/docs/ico/chapter/15A.1.pdf" Type="http://schemas.openxmlformats.org/officeDocument/2006/relationships/hyperlink" Id="rId61"/>
    <Relationship Target="footer.xml" Type="http://schemas.openxmlformats.org/officeDocument/2006/relationships/footer" Id="rId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